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91DF" w14:textId="77777777" w:rsidR="00555538" w:rsidRDefault="00555538">
      <w:pPr>
        <w:pStyle w:val="Body"/>
        <w:rPr>
          <w:rFonts w:ascii="Arial" w:hAnsi="Arial"/>
          <w:b/>
          <w:color w:val="1F497D"/>
          <w:sz w:val="28"/>
          <w:lang w:val="en-GB"/>
        </w:rPr>
      </w:pPr>
      <w:r w:rsidRPr="00555538">
        <w:rPr>
          <w:rFonts w:ascii="Arial" w:hAnsi="Arial"/>
          <w:b/>
          <w:color w:val="1F497D"/>
          <w:sz w:val="28"/>
          <w:lang w:val="en-GB"/>
        </w:rPr>
        <w:t xml:space="preserve">TIDAL GLOBAL LTD </w:t>
      </w:r>
    </w:p>
    <w:p w14:paraId="32A47331" w14:textId="77777777" w:rsidR="00555538" w:rsidRPr="00555538" w:rsidRDefault="00555538">
      <w:pPr>
        <w:pStyle w:val="Body"/>
        <w:rPr>
          <w:rFonts w:ascii="Arial" w:hAnsi="Arial"/>
          <w:b/>
          <w:color w:val="1F497D"/>
          <w:sz w:val="28"/>
          <w:lang w:val="en-GB"/>
        </w:rPr>
      </w:pPr>
    </w:p>
    <w:p w14:paraId="4171B3B8" w14:textId="4484BD3C" w:rsidR="00061B58" w:rsidRPr="00555538" w:rsidRDefault="00000000">
      <w:pPr>
        <w:pStyle w:val="Body"/>
        <w:rPr>
          <w:lang w:val="en-GB"/>
        </w:rPr>
      </w:pPr>
      <w:r w:rsidRPr="00555538">
        <w:rPr>
          <w:lang w:val="en-GB"/>
        </w:rPr>
        <w:t>Safeguarding and Adults at Risk Policy</w:t>
      </w:r>
    </w:p>
    <w:p w14:paraId="42086872" w14:textId="77777777" w:rsidR="00061B58" w:rsidRPr="00555538" w:rsidRDefault="00000000">
      <w:pPr>
        <w:pStyle w:val="Body"/>
        <w:rPr>
          <w:lang w:val="en-GB"/>
        </w:rPr>
      </w:pPr>
      <w:r w:rsidRPr="00555538">
        <w:rPr>
          <w:lang w:val="en-GB"/>
        </w:rPr>
        <w:t>Version: 2.0</w:t>
      </w:r>
      <w:r w:rsidRPr="00555538">
        <w:rPr>
          <w:lang w:val="en-GB"/>
        </w:rPr>
        <w:br/>
        <w:t>Date Reviewed: 14 October 2025</w:t>
      </w:r>
      <w:r w:rsidRPr="00555538">
        <w:rPr>
          <w:lang w:val="en-GB"/>
        </w:rPr>
        <w:br/>
        <w:t>Next Review Due: October 2026</w:t>
      </w:r>
      <w:r w:rsidRPr="00555538">
        <w:rPr>
          <w:lang w:val="en-GB"/>
        </w:rPr>
        <w:br/>
        <w:t>Approved by: CEO and Senior Leadership Team</w:t>
      </w:r>
    </w:p>
    <w:p w14:paraId="579BA5A5" w14:textId="77777777" w:rsidR="00061B58" w:rsidRPr="00555538" w:rsidRDefault="00061B58">
      <w:pPr>
        <w:pStyle w:val="Body"/>
        <w:rPr>
          <w:lang w:val="en-GB"/>
        </w:rPr>
      </w:pPr>
    </w:p>
    <w:p w14:paraId="593E379A" w14:textId="0CF66B4E" w:rsidR="00061B58" w:rsidRPr="00555538" w:rsidRDefault="00555538">
      <w:pPr>
        <w:pStyle w:val="Body"/>
        <w:rPr>
          <w:rFonts w:ascii="Calibri" w:hAnsi="Calibri" w:cs="Calibri"/>
          <w:lang w:val="en-GB"/>
        </w:rPr>
      </w:pPr>
      <w:r>
        <w:rPr>
          <w:rFonts w:ascii="Arial" w:hAnsi="Arial"/>
          <w:b/>
          <w:color w:val="1F497D"/>
          <w:sz w:val="28"/>
        </w:rPr>
        <w:t>1. Policy Statement</w:t>
      </w:r>
    </w:p>
    <w:p w14:paraId="42E7F838" w14:textId="77777777" w:rsidR="00061B58" w:rsidRPr="00555538" w:rsidRDefault="00000000">
      <w:pPr>
        <w:pStyle w:val="Body"/>
        <w:rPr>
          <w:rFonts w:ascii="Calibri" w:hAnsi="Calibri" w:cs="Calibri"/>
          <w:lang w:val="en-GB"/>
        </w:rPr>
      </w:pPr>
      <w:r w:rsidRPr="00555538">
        <w:rPr>
          <w:rFonts w:ascii="Calibri" w:hAnsi="Calibri" w:cs="Calibri"/>
          <w:lang w:val="en-GB"/>
        </w:rPr>
        <w:t>Tidal Global Ltd is committed to creating a safe, inclusive, and supportive environment for all learners, staff, and stakeholders. As a trauma-informed training provider, we take our legal and ethical responsibilities to safeguard adults at risk seriously and ensure our approach is rooted in psychological safety, dignity, and trust.</w:t>
      </w:r>
    </w:p>
    <w:p w14:paraId="582A5E0D" w14:textId="77777777" w:rsidR="00061B58" w:rsidRPr="00555538" w:rsidRDefault="00061B58">
      <w:pPr>
        <w:pStyle w:val="Body"/>
        <w:rPr>
          <w:rFonts w:ascii="Calibri" w:hAnsi="Calibri" w:cs="Calibri"/>
          <w:lang w:val="en-GB"/>
        </w:rPr>
      </w:pPr>
    </w:p>
    <w:p w14:paraId="6C66ED2A" w14:textId="77777777" w:rsidR="00061B58" w:rsidRPr="00555538" w:rsidRDefault="00000000">
      <w:pPr>
        <w:pStyle w:val="Body"/>
        <w:rPr>
          <w:rFonts w:ascii="Calibri" w:hAnsi="Calibri" w:cs="Calibri"/>
          <w:lang w:val="en-GB"/>
        </w:rPr>
      </w:pPr>
      <w:r w:rsidRPr="00555538">
        <w:rPr>
          <w:rFonts w:ascii="Calibri" w:hAnsi="Calibri" w:cs="Calibri"/>
          <w:lang w:val="en-GB"/>
        </w:rPr>
        <w:t>We believe safeguarding is everyone</w:t>
      </w:r>
      <w:r w:rsidRPr="00555538">
        <w:rPr>
          <w:rFonts w:ascii="Calibri" w:hAnsi="Calibri" w:cs="Calibri"/>
          <w:rtl/>
          <w:lang w:val="en-GB"/>
        </w:rPr>
        <w:t>’</w:t>
      </w:r>
      <w:r w:rsidRPr="00555538">
        <w:rPr>
          <w:rFonts w:ascii="Calibri" w:hAnsi="Calibri" w:cs="Calibri"/>
          <w:lang w:val="en-GB"/>
        </w:rPr>
        <w:t xml:space="preserve">s responsibility, and we take a proactive, transparent, and learner-led approach to preventing harm, recognising risk, and responding to concerns. Our safeguarding work is guided by the Care Act 2014, the Mental Capacity Act 2005, and the Prevent Duty under the </w:t>
      </w:r>
      <w:proofErr w:type="gramStart"/>
      <w:r w:rsidRPr="00555538">
        <w:rPr>
          <w:rFonts w:ascii="Calibri" w:hAnsi="Calibri" w:cs="Calibri"/>
          <w:lang w:val="en-GB"/>
        </w:rPr>
        <w:t>Counter-Terrorism</w:t>
      </w:r>
      <w:proofErr w:type="gramEnd"/>
      <w:r w:rsidRPr="00555538">
        <w:rPr>
          <w:rFonts w:ascii="Calibri" w:hAnsi="Calibri" w:cs="Calibri"/>
          <w:lang w:val="en-GB"/>
        </w:rPr>
        <w:t xml:space="preserve"> and Security Act 2015.</w:t>
      </w:r>
    </w:p>
    <w:p w14:paraId="43A5594C" w14:textId="77777777" w:rsidR="00061B58" w:rsidRPr="00555538" w:rsidRDefault="00061B58">
      <w:pPr>
        <w:pStyle w:val="Body"/>
        <w:rPr>
          <w:rFonts w:ascii="Calibri" w:hAnsi="Calibri" w:cs="Calibri"/>
          <w:lang w:val="en-GB"/>
        </w:rPr>
      </w:pPr>
    </w:p>
    <w:p w14:paraId="2A1EBF88" w14:textId="77777777" w:rsidR="00555538" w:rsidRDefault="00555538" w:rsidP="00555538">
      <w:r>
        <w:rPr>
          <w:rFonts w:ascii="Arial" w:hAnsi="Arial"/>
          <w:b/>
          <w:color w:val="1F497D"/>
          <w:sz w:val="28"/>
        </w:rPr>
        <w:t>2. Scope</w:t>
      </w:r>
    </w:p>
    <w:p w14:paraId="2548877A" w14:textId="77777777" w:rsidR="00061B58" w:rsidRPr="00555538" w:rsidRDefault="00000000">
      <w:pPr>
        <w:pStyle w:val="Body"/>
        <w:rPr>
          <w:rFonts w:ascii="Calibri" w:hAnsi="Calibri" w:cs="Calibri"/>
          <w:lang w:val="en-GB"/>
        </w:rPr>
      </w:pPr>
      <w:r w:rsidRPr="00555538">
        <w:rPr>
          <w:rFonts w:ascii="Calibri" w:hAnsi="Calibri" w:cs="Calibri"/>
          <w:lang w:val="en-GB"/>
        </w:rPr>
        <w:t>This policy applies to all staff, associates, volunteers, contractors, learners, and visitors engaged in Tidal Global Ltd activities, both in-person and online. It applies to all services, learning environments, and organisational operations, including partnerships and commissioned delivery.</w:t>
      </w:r>
    </w:p>
    <w:p w14:paraId="6A821375" w14:textId="77777777" w:rsidR="00061B58" w:rsidRPr="00555538" w:rsidRDefault="00061B58">
      <w:pPr>
        <w:pStyle w:val="Body"/>
        <w:rPr>
          <w:rFonts w:ascii="Calibri" w:hAnsi="Calibri" w:cs="Calibri"/>
          <w:lang w:val="en-GB"/>
        </w:rPr>
      </w:pPr>
    </w:p>
    <w:p w14:paraId="1B315BED" w14:textId="77777777" w:rsidR="00061B58" w:rsidRPr="00555538" w:rsidRDefault="00000000">
      <w:pPr>
        <w:pStyle w:val="Body"/>
        <w:rPr>
          <w:rFonts w:ascii="Calibri" w:hAnsi="Calibri" w:cs="Calibri"/>
          <w:lang w:val="en-GB"/>
        </w:rPr>
      </w:pPr>
      <w:r w:rsidRPr="00555538">
        <w:rPr>
          <w:rFonts w:ascii="Calibri" w:hAnsi="Calibri" w:cs="Calibri"/>
          <w:lang w:val="en-GB"/>
        </w:rPr>
        <w:t>It focuses specifically on adults at risk, but the principles apply to all learners and stakeholders, particularly where vulnerability or risk is present.</w:t>
      </w:r>
    </w:p>
    <w:p w14:paraId="4FA06691" w14:textId="77777777" w:rsidR="00061B58" w:rsidRPr="00555538" w:rsidRDefault="00061B58">
      <w:pPr>
        <w:pStyle w:val="Body"/>
        <w:rPr>
          <w:rFonts w:ascii="Calibri" w:hAnsi="Calibri" w:cs="Calibri"/>
          <w:lang w:val="en-GB"/>
        </w:rPr>
      </w:pPr>
    </w:p>
    <w:p w14:paraId="1C1020CB" w14:textId="77777777" w:rsidR="00555538" w:rsidRDefault="00555538" w:rsidP="00555538">
      <w:r>
        <w:rPr>
          <w:rFonts w:ascii="Arial" w:hAnsi="Arial"/>
          <w:b/>
          <w:color w:val="1F497D"/>
          <w:sz w:val="28"/>
        </w:rPr>
        <w:t>3. Principles</w:t>
      </w:r>
    </w:p>
    <w:p w14:paraId="2AE43B0E" w14:textId="77777777" w:rsidR="00061B58" w:rsidRPr="00555538" w:rsidRDefault="00000000">
      <w:pPr>
        <w:pStyle w:val="Body"/>
        <w:rPr>
          <w:rFonts w:ascii="Calibri" w:hAnsi="Calibri" w:cs="Calibri"/>
          <w:lang w:val="en-GB"/>
        </w:rPr>
      </w:pPr>
      <w:r w:rsidRPr="00555538">
        <w:rPr>
          <w:rFonts w:ascii="Calibri" w:hAnsi="Calibri" w:cs="Calibri"/>
          <w:lang w:val="en-GB"/>
        </w:rPr>
        <w:t>Tidal</w:t>
      </w:r>
      <w:r w:rsidRPr="00555538">
        <w:rPr>
          <w:rFonts w:ascii="Calibri" w:hAnsi="Calibri" w:cs="Calibri"/>
          <w:rtl/>
          <w:lang w:val="en-GB"/>
        </w:rPr>
        <w:t>’</w:t>
      </w:r>
      <w:r w:rsidRPr="00555538">
        <w:rPr>
          <w:rFonts w:ascii="Calibri" w:hAnsi="Calibri" w:cs="Calibri"/>
          <w:lang w:val="en-GB"/>
        </w:rPr>
        <w:t>s safeguarding approach is underpinned by the six principles of adult safeguarding (Care Act 2014):</w:t>
      </w:r>
    </w:p>
    <w:p w14:paraId="10BA4C46" w14:textId="77777777" w:rsidR="00061B58" w:rsidRPr="00555538" w:rsidRDefault="00000000">
      <w:pPr>
        <w:pStyle w:val="Body"/>
        <w:rPr>
          <w:rFonts w:ascii="Calibri" w:hAnsi="Calibri" w:cs="Calibri"/>
          <w:lang w:val="en-GB"/>
        </w:rPr>
      </w:pPr>
      <w:r w:rsidRPr="00555538">
        <w:rPr>
          <w:rFonts w:ascii="Calibri" w:hAnsi="Calibri" w:cs="Calibri"/>
          <w:lang w:val="en-GB"/>
        </w:rPr>
        <w:tab/>
        <w:t>Empowerment (Supporting informed decisions and autonomy)</w:t>
      </w:r>
      <w:r w:rsidRPr="00555538">
        <w:rPr>
          <w:rFonts w:ascii="Calibri" w:hAnsi="Calibri" w:cs="Calibri"/>
          <w:lang w:val="en-GB"/>
        </w:rPr>
        <w:br/>
      </w:r>
      <w:r w:rsidRPr="00555538">
        <w:rPr>
          <w:rFonts w:ascii="Calibri" w:hAnsi="Calibri" w:cs="Calibri"/>
          <w:lang w:val="en-GB"/>
        </w:rPr>
        <w:tab/>
        <w:t>Prevention (Acting early to prevent harm and risk)</w:t>
      </w:r>
      <w:r w:rsidRPr="00555538">
        <w:rPr>
          <w:rFonts w:ascii="Calibri" w:hAnsi="Calibri" w:cs="Calibri"/>
          <w:lang w:val="en-GB"/>
        </w:rPr>
        <w:br/>
      </w:r>
      <w:r w:rsidRPr="00555538">
        <w:rPr>
          <w:rFonts w:ascii="Calibri" w:hAnsi="Calibri" w:cs="Calibri"/>
          <w:lang w:val="en-GB"/>
        </w:rPr>
        <w:tab/>
        <w:t>Proportionality (Responding in the least intrusive, trauma-aware way)</w:t>
      </w:r>
      <w:r w:rsidRPr="00555538">
        <w:rPr>
          <w:rFonts w:ascii="Calibri" w:hAnsi="Calibri" w:cs="Calibri"/>
          <w:lang w:val="en-GB"/>
        </w:rPr>
        <w:br/>
      </w:r>
      <w:r w:rsidRPr="00555538">
        <w:rPr>
          <w:rFonts w:ascii="Calibri" w:hAnsi="Calibri" w:cs="Calibri"/>
          <w:lang w:val="en-GB"/>
        </w:rPr>
        <w:tab/>
        <w:t>Protection (Offering support to those in greatest need)</w:t>
      </w:r>
      <w:r w:rsidRPr="00555538">
        <w:rPr>
          <w:rFonts w:ascii="Calibri" w:hAnsi="Calibri" w:cs="Calibri"/>
          <w:lang w:val="en-GB"/>
        </w:rPr>
        <w:br/>
      </w:r>
      <w:r w:rsidRPr="00555538">
        <w:rPr>
          <w:rFonts w:ascii="Calibri" w:hAnsi="Calibri" w:cs="Calibri"/>
          <w:lang w:val="en-GB"/>
        </w:rPr>
        <w:tab/>
        <w:t>Partnership (Working together with learners and external agencies)</w:t>
      </w:r>
      <w:r w:rsidRPr="00555538">
        <w:rPr>
          <w:rFonts w:ascii="Calibri" w:hAnsi="Calibri" w:cs="Calibri"/>
          <w:lang w:val="en-GB"/>
        </w:rPr>
        <w:br/>
      </w:r>
      <w:r w:rsidRPr="00555538">
        <w:rPr>
          <w:rFonts w:ascii="Calibri" w:hAnsi="Calibri" w:cs="Calibri"/>
          <w:lang w:val="en-GB"/>
        </w:rPr>
        <w:tab/>
        <w:t>Accountability (Transparent and responsible safeguarding practice)</w:t>
      </w:r>
      <w:r w:rsidRPr="00555538">
        <w:rPr>
          <w:rFonts w:ascii="Calibri" w:hAnsi="Calibri" w:cs="Calibri"/>
          <w:lang w:val="en-GB"/>
        </w:rPr>
        <w:br/>
      </w:r>
    </w:p>
    <w:p w14:paraId="560CD825" w14:textId="77777777" w:rsidR="00061B58" w:rsidRPr="00555538" w:rsidRDefault="00000000">
      <w:pPr>
        <w:pStyle w:val="Body"/>
        <w:rPr>
          <w:rFonts w:ascii="Calibri" w:hAnsi="Calibri" w:cs="Calibri"/>
          <w:lang w:val="en-GB"/>
        </w:rPr>
      </w:pPr>
      <w:r w:rsidRPr="00555538">
        <w:rPr>
          <w:rFonts w:ascii="Calibri" w:hAnsi="Calibri" w:cs="Calibri"/>
          <w:lang w:val="en-GB"/>
        </w:rPr>
        <w:t xml:space="preserve">We also follow the principle of </w:t>
      </w:r>
      <w:r w:rsidRPr="00555538">
        <w:rPr>
          <w:rFonts w:ascii="Calibri" w:hAnsi="Calibri" w:cs="Calibri"/>
          <w:rtl/>
          <w:lang w:val="en-GB"/>
        </w:rPr>
        <w:t>“</w:t>
      </w:r>
      <w:r w:rsidRPr="00555538">
        <w:rPr>
          <w:rFonts w:ascii="Calibri" w:hAnsi="Calibri" w:cs="Calibri"/>
          <w:lang w:val="en-GB"/>
        </w:rPr>
        <w:t>no decision about me without me”, recognising the impact of trauma on trust and engagement.</w:t>
      </w:r>
    </w:p>
    <w:p w14:paraId="45CCDE8E" w14:textId="77777777" w:rsidR="00061B58" w:rsidRPr="00555538" w:rsidRDefault="00061B58">
      <w:pPr>
        <w:pStyle w:val="Body"/>
        <w:rPr>
          <w:rFonts w:ascii="Calibri" w:hAnsi="Calibri" w:cs="Calibri"/>
          <w:lang w:val="en-GB"/>
        </w:rPr>
      </w:pPr>
    </w:p>
    <w:p w14:paraId="656B2F6D" w14:textId="77777777" w:rsidR="00555538" w:rsidRDefault="00555538" w:rsidP="00555538">
      <w:bookmarkStart w:id="0" w:name="_Hlk211499294"/>
      <w:r>
        <w:rPr>
          <w:rFonts w:ascii="Arial" w:hAnsi="Arial"/>
          <w:b/>
          <w:color w:val="1F497D"/>
          <w:sz w:val="28"/>
        </w:rPr>
        <w:t>4. Definitions</w:t>
      </w:r>
    </w:p>
    <w:bookmarkEnd w:id="0"/>
    <w:p w14:paraId="3A772174" w14:textId="77777777" w:rsidR="00061B58" w:rsidRPr="00555538" w:rsidRDefault="00000000">
      <w:pPr>
        <w:pStyle w:val="Body"/>
        <w:rPr>
          <w:rFonts w:ascii="Calibri" w:hAnsi="Calibri" w:cs="Calibri"/>
          <w:lang w:val="en-GB"/>
        </w:rPr>
      </w:pPr>
      <w:r w:rsidRPr="00555538">
        <w:rPr>
          <w:rFonts w:ascii="Calibri" w:hAnsi="Calibri" w:cs="Calibri"/>
          <w:lang w:val="en-GB"/>
        </w:rPr>
        <w:t>Adult at Risk:</w:t>
      </w:r>
    </w:p>
    <w:p w14:paraId="074B3BC1" w14:textId="77777777" w:rsidR="00061B58" w:rsidRPr="00555538" w:rsidRDefault="00000000">
      <w:pPr>
        <w:pStyle w:val="Body"/>
        <w:rPr>
          <w:rFonts w:ascii="Calibri" w:hAnsi="Calibri" w:cs="Calibri"/>
          <w:lang w:val="en-GB"/>
        </w:rPr>
      </w:pPr>
      <w:r w:rsidRPr="00555538">
        <w:rPr>
          <w:rFonts w:ascii="Calibri" w:hAnsi="Calibri" w:cs="Calibri"/>
          <w:lang w:val="en-GB"/>
        </w:rPr>
        <w:t>An adult aged 18 or over who:</w:t>
      </w:r>
    </w:p>
    <w:p w14:paraId="6C402211" w14:textId="77777777" w:rsidR="00061B58" w:rsidRPr="00555538" w:rsidRDefault="00000000">
      <w:pPr>
        <w:pStyle w:val="Body"/>
        <w:rPr>
          <w:rFonts w:ascii="Calibri" w:hAnsi="Calibri" w:cs="Calibri"/>
          <w:lang w:val="en-GB"/>
        </w:rPr>
      </w:pPr>
      <w:r w:rsidRPr="00555538">
        <w:rPr>
          <w:rFonts w:ascii="Calibri" w:hAnsi="Calibri" w:cs="Calibri"/>
          <w:lang w:val="en-GB"/>
        </w:rPr>
        <w:tab/>
        <w:t>Has needs for care and support (</w:t>
      </w:r>
      <w:proofErr w:type="gramStart"/>
      <w:r w:rsidRPr="00555538">
        <w:rPr>
          <w:rFonts w:ascii="Calibri" w:hAnsi="Calibri" w:cs="Calibri"/>
          <w:lang w:val="en-GB"/>
        </w:rPr>
        <w:t>whether or not</w:t>
      </w:r>
      <w:proofErr w:type="gramEnd"/>
      <w:r w:rsidRPr="00555538">
        <w:rPr>
          <w:rFonts w:ascii="Calibri" w:hAnsi="Calibri" w:cs="Calibri"/>
          <w:lang w:val="en-GB"/>
        </w:rPr>
        <w:t xml:space="preserve"> those needs are being met); and</w:t>
      </w:r>
      <w:r w:rsidRPr="00555538">
        <w:rPr>
          <w:rFonts w:ascii="Calibri" w:hAnsi="Calibri" w:cs="Calibri"/>
          <w:lang w:val="en-GB"/>
        </w:rPr>
        <w:br/>
      </w:r>
      <w:r w:rsidRPr="00555538">
        <w:rPr>
          <w:rFonts w:ascii="Calibri" w:hAnsi="Calibri" w:cs="Calibri"/>
          <w:lang w:val="en-GB"/>
        </w:rPr>
        <w:tab/>
        <w:t>Is experiencing, or at risk of, abuse or neglect; and</w:t>
      </w:r>
      <w:r w:rsidRPr="00555538">
        <w:rPr>
          <w:rFonts w:ascii="Calibri" w:hAnsi="Calibri" w:cs="Calibri"/>
          <w:lang w:val="en-GB"/>
        </w:rPr>
        <w:br/>
      </w:r>
      <w:r w:rsidRPr="00555538">
        <w:rPr>
          <w:rFonts w:ascii="Calibri" w:hAnsi="Calibri" w:cs="Calibri"/>
          <w:lang w:val="en-GB"/>
        </w:rPr>
        <w:tab/>
        <w:t>As a result of those needs, is unable to protect themselves.</w:t>
      </w:r>
      <w:r w:rsidRPr="00555538">
        <w:rPr>
          <w:rFonts w:ascii="Calibri" w:hAnsi="Calibri" w:cs="Calibri"/>
          <w:lang w:val="en-GB"/>
        </w:rPr>
        <w:br/>
      </w:r>
    </w:p>
    <w:p w14:paraId="7367E6E6" w14:textId="77777777" w:rsidR="00061B58" w:rsidRPr="00555538" w:rsidRDefault="00000000">
      <w:pPr>
        <w:pStyle w:val="Body"/>
        <w:rPr>
          <w:rFonts w:ascii="Calibri" w:hAnsi="Calibri" w:cs="Calibri"/>
          <w:lang w:val="en-GB"/>
        </w:rPr>
      </w:pPr>
      <w:r w:rsidRPr="00555538">
        <w:rPr>
          <w:rFonts w:ascii="Calibri" w:hAnsi="Calibri" w:cs="Calibri"/>
          <w:lang w:val="en-GB"/>
        </w:rPr>
        <w:t>Types of Abuse:</w:t>
      </w:r>
    </w:p>
    <w:p w14:paraId="74120827" w14:textId="77777777" w:rsidR="00061B58" w:rsidRPr="00555538" w:rsidRDefault="00000000">
      <w:pPr>
        <w:pStyle w:val="Body"/>
        <w:rPr>
          <w:rFonts w:ascii="Calibri" w:hAnsi="Calibri" w:cs="Calibri"/>
          <w:lang w:val="en-GB"/>
        </w:rPr>
      </w:pPr>
      <w:r w:rsidRPr="00555538">
        <w:rPr>
          <w:rFonts w:ascii="Calibri" w:hAnsi="Calibri" w:cs="Calibri"/>
          <w:lang w:val="en-GB"/>
        </w:rPr>
        <w:t>This includes, but is not limited to:</w:t>
      </w:r>
    </w:p>
    <w:p w14:paraId="72CFB115" w14:textId="77777777" w:rsidR="00061B58" w:rsidRPr="00555538" w:rsidRDefault="00000000">
      <w:pPr>
        <w:pStyle w:val="Body"/>
        <w:rPr>
          <w:rFonts w:ascii="Calibri" w:hAnsi="Calibri" w:cs="Calibri"/>
          <w:lang w:val="en-GB"/>
        </w:rPr>
      </w:pPr>
      <w:r w:rsidRPr="00555538">
        <w:rPr>
          <w:rFonts w:ascii="Calibri" w:hAnsi="Calibri" w:cs="Calibri"/>
          <w:lang w:val="en-GB"/>
        </w:rPr>
        <w:tab/>
        <w:t>Physical abuse</w:t>
      </w:r>
      <w:r w:rsidRPr="00555538">
        <w:rPr>
          <w:rFonts w:ascii="Calibri" w:hAnsi="Calibri" w:cs="Calibri"/>
          <w:lang w:val="en-GB"/>
        </w:rPr>
        <w:br/>
      </w:r>
      <w:r w:rsidRPr="00555538">
        <w:rPr>
          <w:rFonts w:ascii="Calibri" w:hAnsi="Calibri" w:cs="Calibri"/>
          <w:lang w:val="en-GB"/>
        </w:rPr>
        <w:tab/>
        <w:t>Emotional or psychological abuse</w:t>
      </w:r>
      <w:r w:rsidRPr="00555538">
        <w:rPr>
          <w:rFonts w:ascii="Calibri" w:hAnsi="Calibri" w:cs="Calibri"/>
          <w:lang w:val="en-GB"/>
        </w:rPr>
        <w:br/>
      </w:r>
      <w:r w:rsidRPr="00555538">
        <w:rPr>
          <w:rFonts w:ascii="Calibri" w:hAnsi="Calibri" w:cs="Calibri"/>
          <w:lang w:val="en-GB"/>
        </w:rPr>
        <w:tab/>
        <w:t>Sexual abuse or exploitation</w:t>
      </w:r>
      <w:r w:rsidRPr="00555538">
        <w:rPr>
          <w:rFonts w:ascii="Calibri" w:hAnsi="Calibri" w:cs="Calibri"/>
          <w:lang w:val="en-GB"/>
        </w:rPr>
        <w:br/>
      </w:r>
      <w:r w:rsidRPr="00555538">
        <w:rPr>
          <w:rFonts w:ascii="Calibri" w:hAnsi="Calibri" w:cs="Calibri"/>
          <w:lang w:val="en-GB"/>
        </w:rPr>
        <w:tab/>
        <w:t>Financial or material abuse</w:t>
      </w:r>
      <w:r w:rsidRPr="00555538">
        <w:rPr>
          <w:rFonts w:ascii="Calibri" w:hAnsi="Calibri" w:cs="Calibri"/>
          <w:lang w:val="en-GB"/>
        </w:rPr>
        <w:br/>
      </w:r>
      <w:r w:rsidRPr="00555538">
        <w:rPr>
          <w:rFonts w:ascii="Calibri" w:hAnsi="Calibri" w:cs="Calibri"/>
          <w:lang w:val="en-GB"/>
        </w:rPr>
        <w:tab/>
        <w:t>Neglect or self-neglect</w:t>
      </w:r>
      <w:r w:rsidRPr="00555538">
        <w:rPr>
          <w:rFonts w:ascii="Calibri" w:hAnsi="Calibri" w:cs="Calibri"/>
          <w:lang w:val="en-GB"/>
        </w:rPr>
        <w:br/>
      </w:r>
      <w:r w:rsidRPr="00555538">
        <w:rPr>
          <w:rFonts w:ascii="Calibri" w:hAnsi="Calibri" w:cs="Calibri"/>
          <w:lang w:val="en-GB"/>
        </w:rPr>
        <w:lastRenderedPageBreak/>
        <w:tab/>
        <w:t>Discriminatory abuse</w:t>
      </w:r>
      <w:r w:rsidRPr="00555538">
        <w:rPr>
          <w:rFonts w:ascii="Calibri" w:hAnsi="Calibri" w:cs="Calibri"/>
          <w:lang w:val="en-GB"/>
        </w:rPr>
        <w:br/>
      </w:r>
      <w:r w:rsidRPr="00555538">
        <w:rPr>
          <w:rFonts w:ascii="Calibri" w:hAnsi="Calibri" w:cs="Calibri"/>
          <w:lang w:val="en-GB"/>
        </w:rPr>
        <w:tab/>
        <w:t>Organisational abuse</w:t>
      </w:r>
      <w:r w:rsidRPr="00555538">
        <w:rPr>
          <w:rFonts w:ascii="Calibri" w:hAnsi="Calibri" w:cs="Calibri"/>
          <w:lang w:val="en-GB"/>
        </w:rPr>
        <w:br/>
      </w:r>
      <w:r w:rsidRPr="00555538">
        <w:rPr>
          <w:rFonts w:ascii="Calibri" w:hAnsi="Calibri" w:cs="Calibri"/>
          <w:lang w:val="en-GB"/>
        </w:rPr>
        <w:tab/>
        <w:t>Domestic abuse (including coercive control)</w:t>
      </w:r>
    </w:p>
    <w:p w14:paraId="24C968A5" w14:textId="77777777" w:rsidR="00061B58" w:rsidRPr="00555538" w:rsidRDefault="00000000">
      <w:pPr>
        <w:pStyle w:val="Body"/>
        <w:rPr>
          <w:rFonts w:ascii="Calibri" w:hAnsi="Calibri" w:cs="Calibri"/>
          <w:lang w:val="en-GB"/>
        </w:rPr>
      </w:pPr>
      <w:r w:rsidRPr="00555538">
        <w:rPr>
          <w:rFonts w:ascii="Calibri" w:hAnsi="Calibri" w:cs="Calibri"/>
          <w:lang w:val="en-GB"/>
        </w:rPr>
        <w:tab/>
        <w:t>Modern slavery</w:t>
      </w:r>
      <w:r w:rsidRPr="00555538">
        <w:rPr>
          <w:rFonts w:ascii="Calibri" w:hAnsi="Calibri" w:cs="Calibri"/>
          <w:lang w:val="en-GB"/>
        </w:rPr>
        <w:br/>
      </w:r>
      <w:r w:rsidRPr="00555538">
        <w:rPr>
          <w:rFonts w:ascii="Calibri" w:hAnsi="Calibri" w:cs="Calibri"/>
          <w:lang w:val="en-GB"/>
        </w:rPr>
        <w:tab/>
        <w:t>Radicalisation and extremism (Prevent)</w:t>
      </w:r>
      <w:r w:rsidRPr="00555538">
        <w:rPr>
          <w:rFonts w:ascii="Calibri" w:hAnsi="Calibri" w:cs="Calibri"/>
          <w:lang w:val="en-GB"/>
        </w:rPr>
        <w:br/>
      </w:r>
    </w:p>
    <w:p w14:paraId="5DC038B6" w14:textId="77777777" w:rsidR="00061B58" w:rsidRPr="00555538" w:rsidRDefault="00061B58">
      <w:pPr>
        <w:pStyle w:val="Body"/>
        <w:rPr>
          <w:rFonts w:ascii="Calibri" w:hAnsi="Calibri" w:cs="Calibri"/>
          <w:lang w:val="en-GB"/>
        </w:rPr>
      </w:pPr>
    </w:p>
    <w:p w14:paraId="26B6EFFC" w14:textId="77777777" w:rsidR="00555538" w:rsidRDefault="00555538" w:rsidP="00555538">
      <w:r>
        <w:rPr>
          <w:rFonts w:ascii="Arial" w:hAnsi="Arial"/>
          <w:b/>
          <w:color w:val="1F497D"/>
          <w:sz w:val="28"/>
        </w:rPr>
        <w:t>5. Types of Abuse</w:t>
      </w:r>
    </w:p>
    <w:p w14:paraId="70F8A79C" w14:textId="77777777" w:rsidR="00061B58" w:rsidRPr="00555538" w:rsidRDefault="00000000">
      <w:pPr>
        <w:pStyle w:val="Body"/>
        <w:rPr>
          <w:rFonts w:ascii="Calibri" w:hAnsi="Calibri" w:cs="Calibri"/>
          <w:lang w:val="en-GB"/>
        </w:rPr>
      </w:pPr>
      <w:r w:rsidRPr="00555538">
        <w:rPr>
          <w:rFonts w:ascii="Calibri" w:hAnsi="Calibri" w:cs="Calibri"/>
          <w:lang w:val="en-GB"/>
        </w:rPr>
        <w:t>Designated Safeguarding Lead (DSL): [Insert name/contact]</w:t>
      </w:r>
      <w:r w:rsidRPr="00555538">
        <w:rPr>
          <w:rFonts w:ascii="Calibri" w:hAnsi="Calibri" w:cs="Calibri"/>
          <w:lang w:val="en-GB"/>
        </w:rPr>
        <w:br/>
      </w:r>
    </w:p>
    <w:p w14:paraId="0E42FC4B" w14:textId="77777777" w:rsidR="00061B58" w:rsidRPr="00555538" w:rsidRDefault="00000000">
      <w:pPr>
        <w:pStyle w:val="Body"/>
        <w:rPr>
          <w:rFonts w:ascii="Calibri" w:hAnsi="Calibri" w:cs="Calibri"/>
          <w:lang w:val="en-GB"/>
        </w:rPr>
      </w:pPr>
      <w:r w:rsidRPr="00555538">
        <w:rPr>
          <w:rFonts w:ascii="Calibri" w:hAnsi="Calibri" w:cs="Calibri"/>
          <w:lang w:val="en-GB"/>
        </w:rPr>
        <w:t>Deputy DSL: [Insert name/contact]</w:t>
      </w:r>
      <w:r w:rsidRPr="00555538">
        <w:rPr>
          <w:rFonts w:ascii="Calibri" w:hAnsi="Calibri" w:cs="Calibri"/>
          <w:lang w:val="en-GB"/>
        </w:rPr>
        <w:br/>
      </w:r>
    </w:p>
    <w:p w14:paraId="3AD57D06" w14:textId="77777777" w:rsidR="00061B58" w:rsidRPr="00555538" w:rsidRDefault="00000000">
      <w:pPr>
        <w:pStyle w:val="Body"/>
        <w:rPr>
          <w:rFonts w:ascii="Calibri" w:hAnsi="Calibri" w:cs="Calibri"/>
          <w:lang w:val="en-GB"/>
        </w:rPr>
      </w:pPr>
      <w:r w:rsidRPr="00555538">
        <w:rPr>
          <w:rFonts w:ascii="Calibri" w:hAnsi="Calibri" w:cs="Calibri"/>
          <w:lang w:val="en-GB"/>
        </w:rPr>
        <w:t>These individuals are responsible for managing safeguarding concerns, providing guidance to staff, and coordinating external referrals. Their contact information is published internally and on relevant learner-facing materials.</w:t>
      </w:r>
    </w:p>
    <w:p w14:paraId="2B2A165D" w14:textId="77777777" w:rsidR="00061B58" w:rsidRPr="00555538" w:rsidRDefault="00061B58">
      <w:pPr>
        <w:pStyle w:val="Body"/>
        <w:rPr>
          <w:rFonts w:ascii="Calibri" w:hAnsi="Calibri" w:cs="Calibri"/>
          <w:lang w:val="en-GB"/>
        </w:rPr>
      </w:pPr>
    </w:p>
    <w:p w14:paraId="276902EC" w14:textId="77777777" w:rsidR="00555538" w:rsidRDefault="00555538" w:rsidP="00555538">
      <w:r>
        <w:rPr>
          <w:rFonts w:ascii="Arial" w:hAnsi="Arial"/>
          <w:b/>
          <w:color w:val="1F497D"/>
          <w:sz w:val="28"/>
        </w:rPr>
        <w:t>6. Reporting and the 5 Rs</w:t>
      </w:r>
    </w:p>
    <w:p w14:paraId="4B757406" w14:textId="77777777" w:rsidR="00061B58" w:rsidRPr="00555538" w:rsidRDefault="00061B58">
      <w:pPr>
        <w:pStyle w:val="Body"/>
        <w:rPr>
          <w:rFonts w:ascii="Calibri" w:hAnsi="Calibri" w:cs="Calibri"/>
          <w:lang w:val="en-GB"/>
        </w:rPr>
      </w:pPr>
    </w:p>
    <w:p w14:paraId="73F0EE35" w14:textId="77777777" w:rsidR="00061B58" w:rsidRPr="00555538" w:rsidRDefault="00000000">
      <w:pPr>
        <w:pStyle w:val="Body"/>
        <w:rPr>
          <w:rFonts w:ascii="Calibri" w:hAnsi="Calibri" w:cs="Calibri"/>
          <w:lang w:val="en-GB"/>
        </w:rPr>
      </w:pPr>
      <w:r w:rsidRPr="00555538">
        <w:rPr>
          <w:rFonts w:ascii="Calibri" w:hAnsi="Calibri" w:cs="Calibri"/>
          <w:lang w:val="en-GB"/>
        </w:rPr>
        <w:t>All Staff and Contractors Must:</w:t>
      </w:r>
    </w:p>
    <w:p w14:paraId="7CEF53E6" w14:textId="77777777" w:rsidR="00061B58" w:rsidRPr="00555538" w:rsidRDefault="00000000">
      <w:pPr>
        <w:pStyle w:val="Body"/>
        <w:rPr>
          <w:rFonts w:ascii="Calibri" w:hAnsi="Calibri" w:cs="Calibri"/>
          <w:lang w:val="en-GB"/>
        </w:rPr>
      </w:pPr>
      <w:r w:rsidRPr="00555538">
        <w:rPr>
          <w:rFonts w:ascii="Calibri" w:hAnsi="Calibri" w:cs="Calibri"/>
          <w:lang w:val="en-GB"/>
        </w:rPr>
        <w:tab/>
        <w:t>Be familiar with this policy and attend safeguarding training annually</w:t>
      </w:r>
      <w:r w:rsidRPr="00555538">
        <w:rPr>
          <w:rFonts w:ascii="Calibri" w:hAnsi="Calibri" w:cs="Calibri"/>
          <w:lang w:val="en-GB"/>
        </w:rPr>
        <w:br/>
      </w:r>
      <w:r w:rsidRPr="00555538">
        <w:rPr>
          <w:rFonts w:ascii="Calibri" w:hAnsi="Calibri" w:cs="Calibri"/>
          <w:lang w:val="en-GB"/>
        </w:rPr>
        <w:tab/>
        <w:t>Recognise signs of abuse or neglect</w:t>
      </w:r>
      <w:r w:rsidRPr="00555538">
        <w:rPr>
          <w:rFonts w:ascii="Calibri" w:hAnsi="Calibri" w:cs="Calibri"/>
          <w:lang w:val="en-GB"/>
        </w:rPr>
        <w:br/>
      </w:r>
      <w:r w:rsidRPr="00555538">
        <w:rPr>
          <w:rFonts w:ascii="Calibri" w:hAnsi="Calibri" w:cs="Calibri"/>
          <w:lang w:val="en-GB"/>
        </w:rPr>
        <w:tab/>
        <w:t>Report concerns immediately to the DSL (or Deputy if unavailable)</w:t>
      </w:r>
      <w:r w:rsidRPr="00555538">
        <w:rPr>
          <w:rFonts w:ascii="Calibri" w:hAnsi="Calibri" w:cs="Calibri"/>
          <w:lang w:val="en-GB"/>
        </w:rPr>
        <w:br/>
      </w:r>
      <w:r w:rsidRPr="00555538">
        <w:rPr>
          <w:rFonts w:ascii="Calibri" w:hAnsi="Calibri" w:cs="Calibri"/>
          <w:lang w:val="en-GB"/>
        </w:rPr>
        <w:tab/>
        <w:t>Record any concerns factually and sensitively</w:t>
      </w:r>
      <w:r w:rsidRPr="00555538">
        <w:rPr>
          <w:rFonts w:ascii="Calibri" w:hAnsi="Calibri" w:cs="Calibri"/>
          <w:lang w:val="en-GB"/>
        </w:rPr>
        <w:br/>
      </w:r>
      <w:r w:rsidRPr="00555538">
        <w:rPr>
          <w:rFonts w:ascii="Calibri" w:hAnsi="Calibri" w:cs="Calibri"/>
          <w:lang w:val="en-GB"/>
        </w:rPr>
        <w:tab/>
        <w:t>Respect confidentiality but prioritise safety</w:t>
      </w:r>
      <w:r w:rsidRPr="00555538">
        <w:rPr>
          <w:rFonts w:ascii="Calibri" w:hAnsi="Calibri" w:cs="Calibri"/>
          <w:lang w:val="en-GB"/>
        </w:rPr>
        <w:br/>
      </w:r>
    </w:p>
    <w:p w14:paraId="04728715" w14:textId="77777777" w:rsidR="00061B58" w:rsidRPr="00555538" w:rsidRDefault="00000000">
      <w:pPr>
        <w:pStyle w:val="Body"/>
        <w:rPr>
          <w:rFonts w:ascii="Calibri" w:hAnsi="Calibri" w:cs="Calibri"/>
          <w:lang w:val="en-GB"/>
        </w:rPr>
      </w:pPr>
      <w:r w:rsidRPr="00555538">
        <w:rPr>
          <w:rFonts w:ascii="Calibri" w:hAnsi="Calibri" w:cs="Calibri"/>
          <w:lang w:val="en-GB"/>
        </w:rPr>
        <w:t>The DSL Will:</w:t>
      </w:r>
    </w:p>
    <w:p w14:paraId="38B4F317" w14:textId="77777777" w:rsidR="00061B58" w:rsidRPr="00555538" w:rsidRDefault="00000000">
      <w:pPr>
        <w:pStyle w:val="Body"/>
        <w:rPr>
          <w:rFonts w:ascii="Calibri" w:hAnsi="Calibri" w:cs="Calibri"/>
          <w:lang w:val="en-GB"/>
        </w:rPr>
      </w:pPr>
      <w:r w:rsidRPr="00555538">
        <w:rPr>
          <w:rFonts w:ascii="Calibri" w:hAnsi="Calibri" w:cs="Calibri"/>
          <w:lang w:val="en-GB"/>
        </w:rPr>
        <w:tab/>
        <w:t>Act on concerns without delay</w:t>
      </w:r>
      <w:r w:rsidRPr="00555538">
        <w:rPr>
          <w:rFonts w:ascii="Calibri" w:hAnsi="Calibri" w:cs="Calibri"/>
          <w:lang w:val="en-GB"/>
        </w:rPr>
        <w:br/>
      </w:r>
      <w:r w:rsidRPr="00555538">
        <w:rPr>
          <w:rFonts w:ascii="Calibri" w:hAnsi="Calibri" w:cs="Calibri"/>
          <w:lang w:val="en-GB"/>
        </w:rPr>
        <w:tab/>
        <w:t>Liaise with relevant external safeguarding agencies</w:t>
      </w:r>
      <w:r w:rsidRPr="00555538">
        <w:rPr>
          <w:rFonts w:ascii="Calibri" w:hAnsi="Calibri" w:cs="Calibri"/>
          <w:lang w:val="en-GB"/>
        </w:rPr>
        <w:br/>
      </w:r>
      <w:r w:rsidRPr="00555538">
        <w:rPr>
          <w:rFonts w:ascii="Calibri" w:hAnsi="Calibri" w:cs="Calibri"/>
          <w:lang w:val="en-GB"/>
        </w:rPr>
        <w:tab/>
        <w:t>Maintain secure records of concerns and actions</w:t>
      </w:r>
      <w:r w:rsidRPr="00555538">
        <w:rPr>
          <w:rFonts w:ascii="Calibri" w:hAnsi="Calibri" w:cs="Calibri"/>
          <w:lang w:val="en-GB"/>
        </w:rPr>
        <w:br/>
      </w:r>
      <w:r w:rsidRPr="00555538">
        <w:rPr>
          <w:rFonts w:ascii="Calibri" w:hAnsi="Calibri" w:cs="Calibri"/>
          <w:lang w:val="en-GB"/>
        </w:rPr>
        <w:tab/>
        <w:t>Ensure staff have ongoing access to support and safeguarding guidance</w:t>
      </w:r>
      <w:r w:rsidRPr="00555538">
        <w:rPr>
          <w:rFonts w:ascii="Calibri" w:hAnsi="Calibri" w:cs="Calibri"/>
          <w:lang w:val="en-GB"/>
        </w:rPr>
        <w:br/>
      </w:r>
      <w:r w:rsidRPr="00555538">
        <w:rPr>
          <w:rFonts w:ascii="Calibri" w:hAnsi="Calibri" w:cs="Calibri"/>
          <w:lang w:val="en-GB"/>
        </w:rPr>
        <w:tab/>
        <w:t>Lead on safeguarding reviews and policy updates</w:t>
      </w:r>
      <w:r w:rsidRPr="00555538">
        <w:rPr>
          <w:rFonts w:ascii="Calibri" w:hAnsi="Calibri" w:cs="Calibri"/>
          <w:lang w:val="en-GB"/>
        </w:rPr>
        <w:br/>
      </w:r>
    </w:p>
    <w:p w14:paraId="10DE979E" w14:textId="77777777" w:rsidR="00061B58" w:rsidRPr="00555538" w:rsidRDefault="00061B58">
      <w:pPr>
        <w:pStyle w:val="Body"/>
        <w:rPr>
          <w:rFonts w:ascii="Calibri" w:hAnsi="Calibri" w:cs="Calibri"/>
          <w:lang w:val="en-GB"/>
        </w:rPr>
      </w:pPr>
    </w:p>
    <w:p w14:paraId="7923142A" w14:textId="3F4EE00C" w:rsidR="00555538" w:rsidRDefault="00555538">
      <w:pPr>
        <w:pStyle w:val="Body"/>
        <w:rPr>
          <w:rFonts w:ascii="Arial" w:hAnsi="Arial" w:cs="Arial"/>
          <w:sz w:val="28"/>
          <w:szCs w:val="28"/>
          <w:lang w:val="en-GB"/>
        </w:rPr>
      </w:pPr>
      <w:r w:rsidRPr="00555538">
        <w:rPr>
          <w:rFonts w:ascii="Arial" w:hAnsi="Arial" w:cs="Times New Roman"/>
          <w:b/>
          <w:color w:val="1F497D"/>
          <w:sz w:val="28"/>
          <w:szCs w:val="24"/>
          <w:lang w:val="en-GB" w:eastAsia="en-US"/>
          <w14:textOutline w14:w="0" w14:cap="rnd" w14:cmpd="sng" w14:algn="ctr">
            <w14:noFill/>
            <w14:prstDash w14:val="solid"/>
            <w14:bevel/>
          </w14:textOutline>
        </w:rPr>
        <w:t>7. Reporting and Responding to Concerns</w:t>
      </w:r>
    </w:p>
    <w:p w14:paraId="1DCA70AF" w14:textId="77777777" w:rsidR="00061B58" w:rsidRPr="00555538" w:rsidRDefault="00061B58">
      <w:pPr>
        <w:pStyle w:val="Body"/>
        <w:rPr>
          <w:rFonts w:ascii="Calibri" w:hAnsi="Calibri" w:cs="Calibri"/>
          <w:lang w:val="en-GB"/>
        </w:rPr>
      </w:pPr>
    </w:p>
    <w:p w14:paraId="7A51A789" w14:textId="77777777" w:rsidR="00061B58" w:rsidRPr="00555538" w:rsidRDefault="00000000">
      <w:pPr>
        <w:pStyle w:val="Body"/>
        <w:rPr>
          <w:rFonts w:ascii="Calibri" w:hAnsi="Calibri" w:cs="Calibri"/>
          <w:lang w:val="en-GB"/>
        </w:rPr>
      </w:pPr>
      <w:r w:rsidRPr="00555538">
        <w:rPr>
          <w:rFonts w:ascii="Calibri" w:hAnsi="Calibri" w:cs="Calibri"/>
          <w:lang w:val="en-GB"/>
        </w:rPr>
        <w:t>Reporting:</w:t>
      </w:r>
    </w:p>
    <w:p w14:paraId="29953B4A" w14:textId="77777777" w:rsidR="00061B58" w:rsidRPr="00555538" w:rsidRDefault="00000000">
      <w:pPr>
        <w:pStyle w:val="Body"/>
        <w:rPr>
          <w:rFonts w:ascii="Calibri" w:hAnsi="Calibri" w:cs="Calibri"/>
          <w:lang w:val="en-GB"/>
        </w:rPr>
      </w:pPr>
      <w:r w:rsidRPr="00555538">
        <w:rPr>
          <w:rFonts w:ascii="Calibri" w:hAnsi="Calibri" w:cs="Calibri"/>
          <w:lang w:val="en-GB"/>
        </w:rPr>
        <w:t>Concerns can be raised by staff, learners, or third parties. Reports can be made verbally or in writing to the DSL. If someone is at immediate risk of harm, emergency services should be contacted.</w:t>
      </w:r>
    </w:p>
    <w:p w14:paraId="5D105DEC" w14:textId="77777777" w:rsidR="00061B58" w:rsidRPr="00555538" w:rsidRDefault="00061B58">
      <w:pPr>
        <w:pStyle w:val="Body"/>
        <w:rPr>
          <w:rFonts w:ascii="Calibri" w:hAnsi="Calibri" w:cs="Calibri"/>
          <w:lang w:val="en-GB"/>
        </w:rPr>
      </w:pPr>
    </w:p>
    <w:p w14:paraId="57F010FB" w14:textId="77777777" w:rsidR="00061B58" w:rsidRPr="00555538" w:rsidRDefault="00000000">
      <w:pPr>
        <w:pStyle w:val="Body"/>
        <w:rPr>
          <w:rFonts w:ascii="Calibri" w:hAnsi="Calibri" w:cs="Calibri"/>
          <w:lang w:val="en-GB"/>
        </w:rPr>
      </w:pPr>
      <w:r w:rsidRPr="00555538">
        <w:rPr>
          <w:rFonts w:ascii="Calibri" w:hAnsi="Calibri" w:cs="Calibri"/>
          <w:lang w:val="en-GB"/>
        </w:rPr>
        <w:t>All concerns, no matter how small, must be logged using the internal safeguarding reporting procedure.</w:t>
      </w:r>
    </w:p>
    <w:p w14:paraId="2FC85CC1" w14:textId="77777777" w:rsidR="00061B58" w:rsidRPr="00555538" w:rsidRDefault="00061B58">
      <w:pPr>
        <w:pStyle w:val="Body"/>
        <w:rPr>
          <w:rFonts w:ascii="Calibri" w:hAnsi="Calibri" w:cs="Calibri"/>
          <w:lang w:val="en-GB"/>
        </w:rPr>
      </w:pPr>
    </w:p>
    <w:p w14:paraId="349B1D59" w14:textId="77777777" w:rsidR="00061B58" w:rsidRPr="00555538" w:rsidRDefault="00000000">
      <w:pPr>
        <w:pStyle w:val="Body"/>
        <w:rPr>
          <w:rFonts w:ascii="Calibri" w:hAnsi="Calibri" w:cs="Calibri"/>
          <w:lang w:val="en-GB"/>
        </w:rPr>
      </w:pPr>
      <w:r w:rsidRPr="00555538">
        <w:rPr>
          <w:rFonts w:ascii="Calibri" w:hAnsi="Calibri" w:cs="Calibri"/>
          <w:lang w:val="en-GB"/>
        </w:rPr>
        <w:t>Responding:</w:t>
      </w:r>
    </w:p>
    <w:p w14:paraId="3DC1B2E1" w14:textId="77777777" w:rsidR="00061B58" w:rsidRPr="00555538" w:rsidRDefault="00000000">
      <w:pPr>
        <w:pStyle w:val="Body"/>
        <w:rPr>
          <w:rFonts w:ascii="Calibri" w:hAnsi="Calibri" w:cs="Calibri"/>
          <w:lang w:val="en-GB"/>
        </w:rPr>
      </w:pPr>
      <w:r w:rsidRPr="00555538">
        <w:rPr>
          <w:rFonts w:ascii="Calibri" w:hAnsi="Calibri" w:cs="Calibri"/>
          <w:lang w:val="en-GB"/>
        </w:rPr>
        <w:t>The DSL will assess the risk and determine next steps, including potential referral to the local authority safeguarding team or other agencies.</w:t>
      </w:r>
      <w:r w:rsidRPr="00555538">
        <w:rPr>
          <w:rFonts w:ascii="Calibri" w:hAnsi="Calibri" w:cs="Calibri"/>
          <w:lang w:val="en-GB"/>
        </w:rPr>
        <w:br/>
      </w:r>
    </w:p>
    <w:p w14:paraId="4AF82985" w14:textId="77777777" w:rsidR="00061B58" w:rsidRPr="00555538" w:rsidRDefault="00000000">
      <w:pPr>
        <w:pStyle w:val="Body"/>
        <w:rPr>
          <w:rFonts w:ascii="Calibri" w:hAnsi="Calibri" w:cs="Calibri"/>
          <w:lang w:val="en-GB"/>
        </w:rPr>
      </w:pPr>
      <w:r w:rsidRPr="00555538">
        <w:rPr>
          <w:rFonts w:ascii="Calibri" w:hAnsi="Calibri" w:cs="Calibri"/>
          <w:lang w:val="en-GB"/>
        </w:rPr>
        <w:t>Learners will be informed of actions taken unless doing so would increase risk.</w:t>
      </w:r>
      <w:r w:rsidRPr="00555538">
        <w:rPr>
          <w:rFonts w:ascii="Calibri" w:hAnsi="Calibri" w:cs="Calibri"/>
          <w:lang w:val="en-GB"/>
        </w:rPr>
        <w:br/>
      </w:r>
    </w:p>
    <w:p w14:paraId="2D5DAD9B" w14:textId="77777777" w:rsidR="00061B58" w:rsidRPr="00555538" w:rsidRDefault="00000000">
      <w:pPr>
        <w:pStyle w:val="Body"/>
        <w:rPr>
          <w:rFonts w:ascii="Calibri" w:hAnsi="Calibri" w:cs="Calibri"/>
          <w:lang w:val="en-GB"/>
        </w:rPr>
      </w:pPr>
      <w:r w:rsidRPr="00555538">
        <w:rPr>
          <w:rFonts w:ascii="Calibri" w:hAnsi="Calibri" w:cs="Calibri"/>
          <w:lang w:val="en-GB"/>
        </w:rPr>
        <w:t>Referrals are made in accordance with local safeguarding procedures.</w:t>
      </w:r>
      <w:r w:rsidRPr="00555538">
        <w:rPr>
          <w:rFonts w:ascii="Calibri" w:hAnsi="Calibri" w:cs="Calibri"/>
          <w:lang w:val="en-GB"/>
        </w:rPr>
        <w:br/>
      </w:r>
    </w:p>
    <w:p w14:paraId="7DD9E86C" w14:textId="77777777" w:rsidR="00061B58" w:rsidRDefault="00061B58">
      <w:pPr>
        <w:pStyle w:val="Body"/>
        <w:rPr>
          <w:rFonts w:ascii="Calibri" w:hAnsi="Calibri" w:cs="Calibri"/>
          <w:lang w:val="en-GB"/>
        </w:rPr>
      </w:pPr>
    </w:p>
    <w:p w14:paraId="2C69E36D" w14:textId="77777777" w:rsidR="00555538" w:rsidRDefault="00555538">
      <w:pPr>
        <w:pStyle w:val="Body"/>
        <w:rPr>
          <w:rFonts w:ascii="Calibri" w:hAnsi="Calibri" w:cs="Calibri"/>
          <w:lang w:val="en-GB"/>
        </w:rPr>
      </w:pPr>
    </w:p>
    <w:p w14:paraId="2EA613D0" w14:textId="77777777" w:rsidR="00555538" w:rsidRDefault="00555538">
      <w:pPr>
        <w:pStyle w:val="Body"/>
        <w:rPr>
          <w:rFonts w:ascii="Calibri" w:hAnsi="Calibri" w:cs="Calibri"/>
          <w:lang w:val="en-GB"/>
        </w:rPr>
      </w:pPr>
    </w:p>
    <w:p w14:paraId="6CC27766" w14:textId="77777777" w:rsidR="00555538" w:rsidRPr="00555538" w:rsidRDefault="00555538">
      <w:pPr>
        <w:pStyle w:val="Body"/>
        <w:rPr>
          <w:rFonts w:ascii="Calibri" w:hAnsi="Calibri" w:cs="Calibri"/>
          <w:lang w:val="en-GB"/>
        </w:rPr>
      </w:pPr>
    </w:p>
    <w:p w14:paraId="412CA3F8" w14:textId="7C747542" w:rsidR="00555538" w:rsidRDefault="00555538" w:rsidP="00555538">
      <w:bookmarkStart w:id="1" w:name="_Hlk211499205"/>
      <w:r>
        <w:rPr>
          <w:rFonts w:ascii="Arial" w:hAnsi="Arial"/>
          <w:b/>
          <w:color w:val="1F497D"/>
          <w:sz w:val="28"/>
        </w:rPr>
        <w:lastRenderedPageBreak/>
        <w:t>8</w:t>
      </w:r>
      <w:r>
        <w:rPr>
          <w:rFonts w:ascii="Arial" w:hAnsi="Arial"/>
          <w:b/>
          <w:color w:val="1F497D"/>
          <w:sz w:val="28"/>
        </w:rPr>
        <w:t>. Prevent Duty</w:t>
      </w:r>
    </w:p>
    <w:bookmarkEnd w:id="1"/>
    <w:p w14:paraId="140ABEAD" w14:textId="77777777" w:rsidR="00061B58" w:rsidRPr="00555538" w:rsidRDefault="00061B58">
      <w:pPr>
        <w:pStyle w:val="Body"/>
        <w:rPr>
          <w:rFonts w:ascii="Calibri" w:hAnsi="Calibri" w:cs="Calibri"/>
          <w:lang w:val="en-GB"/>
        </w:rPr>
      </w:pPr>
    </w:p>
    <w:p w14:paraId="7B41B06F" w14:textId="77777777" w:rsidR="00061B58" w:rsidRPr="00555538" w:rsidRDefault="00000000">
      <w:pPr>
        <w:pStyle w:val="Body"/>
        <w:rPr>
          <w:rFonts w:ascii="Calibri" w:hAnsi="Calibri" w:cs="Calibri"/>
          <w:lang w:val="en-GB"/>
        </w:rPr>
      </w:pPr>
      <w:r w:rsidRPr="00555538">
        <w:rPr>
          <w:rFonts w:ascii="Calibri" w:hAnsi="Calibri" w:cs="Calibri"/>
          <w:lang w:val="en-GB"/>
        </w:rPr>
        <w:t xml:space="preserve">Tidal recognises its Prevent responsibilities under the </w:t>
      </w:r>
      <w:proofErr w:type="gramStart"/>
      <w:r w:rsidRPr="00555538">
        <w:rPr>
          <w:rFonts w:ascii="Calibri" w:hAnsi="Calibri" w:cs="Calibri"/>
          <w:lang w:val="en-GB"/>
        </w:rPr>
        <w:t>Counter-Terrorism</w:t>
      </w:r>
      <w:proofErr w:type="gramEnd"/>
      <w:r w:rsidRPr="00555538">
        <w:rPr>
          <w:rFonts w:ascii="Calibri" w:hAnsi="Calibri" w:cs="Calibri"/>
          <w:lang w:val="en-GB"/>
        </w:rPr>
        <w:t xml:space="preserve"> and Security Act 2015. We aim to identify signs of radicalisation and support learners who may be vulnerable to extremist influence.</w:t>
      </w:r>
    </w:p>
    <w:p w14:paraId="221A9E5E" w14:textId="77777777" w:rsidR="00061B58" w:rsidRPr="00555538" w:rsidRDefault="00061B58">
      <w:pPr>
        <w:pStyle w:val="Body"/>
        <w:rPr>
          <w:rFonts w:ascii="Calibri" w:hAnsi="Calibri" w:cs="Calibri"/>
          <w:lang w:val="en-GB"/>
        </w:rPr>
      </w:pPr>
    </w:p>
    <w:p w14:paraId="723A425A" w14:textId="77777777" w:rsidR="00061B58" w:rsidRPr="00555538" w:rsidRDefault="00000000">
      <w:pPr>
        <w:pStyle w:val="Body"/>
        <w:rPr>
          <w:rFonts w:ascii="Calibri" w:hAnsi="Calibri" w:cs="Calibri"/>
          <w:lang w:val="en-GB"/>
        </w:rPr>
      </w:pPr>
      <w:r w:rsidRPr="00555538">
        <w:rPr>
          <w:rFonts w:ascii="Calibri" w:hAnsi="Calibri" w:cs="Calibri"/>
          <w:lang w:val="en-GB"/>
        </w:rPr>
        <w:t>Prevent is managed as part of our wider safeguarding duties, with appropriate staff trained to identify and act on concerns. Any Prevent-related concerns are handled in line with Home Office guidance and referred to the appropriate Channel Panel where necessary.</w:t>
      </w:r>
    </w:p>
    <w:p w14:paraId="40107E77" w14:textId="77777777" w:rsidR="00061B58" w:rsidRPr="00555538" w:rsidRDefault="00061B58">
      <w:pPr>
        <w:pStyle w:val="Body"/>
        <w:rPr>
          <w:rFonts w:ascii="Calibri" w:hAnsi="Calibri" w:cs="Calibri"/>
          <w:lang w:val="en-GB"/>
        </w:rPr>
      </w:pPr>
    </w:p>
    <w:p w14:paraId="5292241D" w14:textId="77777777" w:rsidR="00555538" w:rsidRDefault="00555538" w:rsidP="00555538">
      <w:r>
        <w:rPr>
          <w:rFonts w:ascii="Arial" w:hAnsi="Arial"/>
          <w:b/>
          <w:color w:val="1F497D"/>
          <w:sz w:val="28"/>
        </w:rPr>
        <w:t>9. Safer Recruitment and Training</w:t>
      </w:r>
    </w:p>
    <w:p w14:paraId="7FEB7C6A" w14:textId="77777777" w:rsidR="00061B58" w:rsidRPr="00555538" w:rsidRDefault="00061B58">
      <w:pPr>
        <w:pStyle w:val="Body"/>
        <w:rPr>
          <w:rFonts w:ascii="Calibri" w:hAnsi="Calibri" w:cs="Calibri"/>
          <w:lang w:val="en-GB"/>
        </w:rPr>
      </w:pPr>
    </w:p>
    <w:p w14:paraId="0810E293" w14:textId="77777777" w:rsidR="00061B58" w:rsidRPr="00555538" w:rsidRDefault="00000000">
      <w:pPr>
        <w:pStyle w:val="Body"/>
        <w:rPr>
          <w:rFonts w:ascii="Calibri" w:hAnsi="Calibri" w:cs="Calibri"/>
          <w:lang w:val="en-GB"/>
        </w:rPr>
      </w:pPr>
      <w:r w:rsidRPr="00555538">
        <w:rPr>
          <w:rFonts w:ascii="Calibri" w:hAnsi="Calibri" w:cs="Calibri"/>
          <w:lang w:val="en-GB"/>
        </w:rPr>
        <w:t>Tidal follows safer recruitment practices including:</w:t>
      </w:r>
    </w:p>
    <w:p w14:paraId="0AD0E2D1" w14:textId="77777777" w:rsidR="00061B58" w:rsidRPr="00555538" w:rsidRDefault="00000000">
      <w:pPr>
        <w:pStyle w:val="Body"/>
        <w:rPr>
          <w:rFonts w:ascii="Calibri" w:hAnsi="Calibri" w:cs="Calibri"/>
          <w:lang w:val="en-GB"/>
        </w:rPr>
      </w:pPr>
      <w:r w:rsidRPr="00555538">
        <w:rPr>
          <w:rFonts w:ascii="Calibri" w:hAnsi="Calibri" w:cs="Calibri"/>
          <w:lang w:val="en-GB"/>
        </w:rPr>
        <w:tab/>
        <w:t>Pre-employment checks and references</w:t>
      </w:r>
      <w:r w:rsidRPr="00555538">
        <w:rPr>
          <w:rFonts w:ascii="Calibri" w:hAnsi="Calibri" w:cs="Calibri"/>
          <w:lang w:val="en-GB"/>
        </w:rPr>
        <w:br/>
      </w:r>
      <w:r w:rsidRPr="00555538">
        <w:rPr>
          <w:rFonts w:ascii="Calibri" w:hAnsi="Calibri" w:cs="Calibri"/>
          <w:lang w:val="en-GB"/>
        </w:rPr>
        <w:tab/>
        <w:t>Enhanced DBS checks where appropriate</w:t>
      </w:r>
      <w:r w:rsidRPr="00555538">
        <w:rPr>
          <w:rFonts w:ascii="Calibri" w:hAnsi="Calibri" w:cs="Calibri"/>
          <w:lang w:val="en-GB"/>
        </w:rPr>
        <w:br/>
      </w:r>
      <w:r w:rsidRPr="00555538">
        <w:rPr>
          <w:rFonts w:ascii="Calibri" w:hAnsi="Calibri" w:cs="Calibri"/>
          <w:lang w:val="en-GB"/>
        </w:rPr>
        <w:tab/>
        <w:t>Right-to-work checks</w:t>
      </w:r>
      <w:r w:rsidRPr="00555538">
        <w:rPr>
          <w:rFonts w:ascii="Calibri" w:hAnsi="Calibri" w:cs="Calibri"/>
          <w:lang w:val="en-GB"/>
        </w:rPr>
        <w:br/>
      </w:r>
      <w:r w:rsidRPr="00555538">
        <w:rPr>
          <w:rFonts w:ascii="Calibri" w:hAnsi="Calibri" w:cs="Calibri"/>
          <w:lang w:val="en-GB"/>
        </w:rPr>
        <w:tab/>
        <w:t>Clear safeguarding and conduct expectations in contracts and onboarding</w:t>
      </w:r>
      <w:r w:rsidRPr="00555538">
        <w:rPr>
          <w:rFonts w:ascii="Calibri" w:hAnsi="Calibri" w:cs="Calibri"/>
          <w:lang w:val="en-GB"/>
        </w:rPr>
        <w:br/>
      </w:r>
    </w:p>
    <w:p w14:paraId="197671B6" w14:textId="17259AF9" w:rsidR="00061B58" w:rsidRDefault="00555538">
      <w:pPr>
        <w:pStyle w:val="Body"/>
        <w:rPr>
          <w:rFonts w:ascii="Arial" w:hAnsi="Arial"/>
          <w:b/>
          <w:color w:val="1F497D"/>
          <w:sz w:val="28"/>
        </w:rPr>
      </w:pPr>
      <w:r w:rsidRPr="00555538">
        <w:rPr>
          <w:rFonts w:ascii="Arial" w:hAnsi="Arial"/>
          <w:b/>
          <w:color w:val="1F497D"/>
          <w:sz w:val="28"/>
        </w:rPr>
        <w:t>10. Confidentiality and Data Protection</w:t>
      </w:r>
    </w:p>
    <w:p w14:paraId="3D592B42" w14:textId="77777777" w:rsidR="00555538" w:rsidRPr="00555538" w:rsidRDefault="00555538">
      <w:pPr>
        <w:pStyle w:val="Body"/>
        <w:rPr>
          <w:rFonts w:ascii="Calibri" w:hAnsi="Calibri" w:cs="Calibri"/>
          <w:lang w:val="en-GB"/>
        </w:rPr>
      </w:pPr>
    </w:p>
    <w:p w14:paraId="6FF51C05" w14:textId="77777777" w:rsidR="00061B58" w:rsidRPr="00555538" w:rsidRDefault="00000000">
      <w:pPr>
        <w:pStyle w:val="Body"/>
        <w:rPr>
          <w:rFonts w:ascii="Calibri" w:hAnsi="Calibri" w:cs="Calibri"/>
          <w:lang w:val="en-GB"/>
        </w:rPr>
      </w:pPr>
      <w:r w:rsidRPr="00555538">
        <w:rPr>
          <w:rFonts w:ascii="Calibri" w:hAnsi="Calibri" w:cs="Calibri"/>
          <w:lang w:val="en-GB"/>
        </w:rPr>
        <w:t>Safeguarding concerns will be handled with sensitivity and confidentiality. Information is only shared on a need-to-know basis to protect the person at risk. All records are held securely and retained for a minimum of six years in line with data protection regulations and our internal retention schedule.</w:t>
      </w:r>
    </w:p>
    <w:p w14:paraId="2940E1E8" w14:textId="77777777" w:rsidR="00061B58" w:rsidRPr="00555538" w:rsidRDefault="00061B58">
      <w:pPr>
        <w:pStyle w:val="Body"/>
        <w:rPr>
          <w:rFonts w:ascii="Calibri" w:hAnsi="Calibri" w:cs="Calibri"/>
          <w:lang w:val="en-GB"/>
        </w:rPr>
      </w:pPr>
    </w:p>
    <w:p w14:paraId="6A92E940" w14:textId="28483B6A" w:rsidR="00555538" w:rsidRPr="00555538" w:rsidRDefault="00555538">
      <w:pPr>
        <w:pStyle w:val="Body"/>
        <w:rPr>
          <w:rFonts w:ascii="Calibri" w:hAnsi="Calibri" w:cs="Calibri"/>
          <w:lang w:val="en-GB"/>
        </w:rPr>
      </w:pPr>
      <w:r w:rsidRPr="00555538">
        <w:rPr>
          <w:rFonts w:ascii="Arial" w:hAnsi="Arial"/>
          <w:b/>
          <w:color w:val="1F497D"/>
          <w:sz w:val="28"/>
        </w:rPr>
        <w:t>11. Training and Awareness</w:t>
      </w:r>
    </w:p>
    <w:p w14:paraId="31A6B690" w14:textId="77777777" w:rsidR="00061B58" w:rsidRPr="00555538" w:rsidRDefault="00061B58">
      <w:pPr>
        <w:pStyle w:val="Body"/>
        <w:rPr>
          <w:rFonts w:ascii="Calibri" w:hAnsi="Calibri" w:cs="Calibri"/>
          <w:lang w:val="en-GB"/>
        </w:rPr>
      </w:pPr>
    </w:p>
    <w:p w14:paraId="63B67453" w14:textId="77777777" w:rsidR="00061B58" w:rsidRPr="00555538" w:rsidRDefault="00000000">
      <w:pPr>
        <w:pStyle w:val="Body"/>
        <w:rPr>
          <w:rFonts w:ascii="Calibri" w:hAnsi="Calibri" w:cs="Calibri"/>
          <w:lang w:val="en-GB"/>
        </w:rPr>
      </w:pPr>
      <w:r w:rsidRPr="00555538">
        <w:rPr>
          <w:rFonts w:ascii="Calibri" w:hAnsi="Calibri" w:cs="Calibri"/>
          <w:lang w:val="en-GB"/>
        </w:rPr>
        <w:t>All staff receive safeguarding induction and annual refresher training. Additional Prevent training is provided to relevant roles. The DSL ensures the policy remains up to date with current guidance and case learning.</w:t>
      </w:r>
    </w:p>
    <w:p w14:paraId="69996EF7" w14:textId="77777777" w:rsidR="00061B58" w:rsidRPr="00555538" w:rsidRDefault="00061B58">
      <w:pPr>
        <w:pStyle w:val="Body"/>
        <w:rPr>
          <w:rFonts w:ascii="Calibri" w:hAnsi="Calibri" w:cs="Calibri"/>
          <w:lang w:val="en-GB"/>
        </w:rPr>
      </w:pPr>
    </w:p>
    <w:p w14:paraId="15A52B7F" w14:textId="096FC9B8" w:rsidR="00555538" w:rsidRPr="00555538" w:rsidRDefault="00555538">
      <w:pPr>
        <w:pStyle w:val="Body"/>
        <w:rPr>
          <w:rFonts w:ascii="Calibri" w:hAnsi="Calibri" w:cs="Calibri"/>
          <w:lang w:val="en-GB"/>
        </w:rPr>
      </w:pPr>
      <w:r w:rsidRPr="00555538">
        <w:rPr>
          <w:rFonts w:ascii="Arial" w:hAnsi="Arial"/>
          <w:b/>
          <w:color w:val="1F497D"/>
          <w:sz w:val="28"/>
        </w:rPr>
        <w:t>12. Policy Review and Improvement</w:t>
      </w:r>
    </w:p>
    <w:p w14:paraId="2595CFE2" w14:textId="77777777" w:rsidR="00061B58" w:rsidRPr="00555538" w:rsidRDefault="00061B58">
      <w:pPr>
        <w:pStyle w:val="Body"/>
        <w:rPr>
          <w:rFonts w:ascii="Calibri" w:hAnsi="Calibri" w:cs="Calibri"/>
          <w:lang w:val="en-GB"/>
        </w:rPr>
      </w:pPr>
    </w:p>
    <w:p w14:paraId="7F54E432" w14:textId="77777777" w:rsidR="00061B58" w:rsidRPr="00555538" w:rsidRDefault="00000000">
      <w:pPr>
        <w:pStyle w:val="Body"/>
        <w:rPr>
          <w:rFonts w:ascii="Calibri" w:hAnsi="Calibri" w:cs="Calibri"/>
          <w:lang w:val="en-GB"/>
        </w:rPr>
      </w:pPr>
      <w:r w:rsidRPr="00555538">
        <w:rPr>
          <w:rFonts w:ascii="Calibri" w:hAnsi="Calibri" w:cs="Calibri"/>
          <w:lang w:val="en-GB"/>
        </w:rPr>
        <w:t>This policy is reviewed annually or sooner if legal, organisational, or contextual changes require it. Lessons from safeguarding incidents, learner feedback, and sector best practice are used to inform updates.</w:t>
      </w:r>
    </w:p>
    <w:p w14:paraId="76C33CDC" w14:textId="77777777" w:rsidR="00061B58" w:rsidRPr="00555538" w:rsidRDefault="00061B58">
      <w:pPr>
        <w:pStyle w:val="Body"/>
        <w:rPr>
          <w:rFonts w:ascii="Calibri" w:hAnsi="Calibri" w:cs="Calibri"/>
          <w:lang w:val="en-GB"/>
        </w:rPr>
      </w:pPr>
    </w:p>
    <w:p w14:paraId="3B02B6F0" w14:textId="77777777" w:rsidR="00061B58" w:rsidRPr="00555538" w:rsidRDefault="00000000">
      <w:pPr>
        <w:pStyle w:val="Body"/>
        <w:rPr>
          <w:rFonts w:ascii="Calibri" w:hAnsi="Calibri" w:cs="Calibri"/>
          <w:lang w:val="en-GB"/>
        </w:rPr>
      </w:pPr>
      <w:r w:rsidRPr="00555538">
        <w:rPr>
          <w:rFonts w:ascii="Calibri" w:hAnsi="Calibri" w:cs="Calibri"/>
          <w:lang w:val="en-GB"/>
        </w:rPr>
        <w:t>13. Linked Policies</w:t>
      </w:r>
    </w:p>
    <w:p w14:paraId="7230E821" w14:textId="77777777" w:rsidR="00061B58" w:rsidRPr="00555538" w:rsidRDefault="00061B58">
      <w:pPr>
        <w:pStyle w:val="Body"/>
        <w:rPr>
          <w:rFonts w:ascii="Calibri" w:hAnsi="Calibri" w:cs="Calibri"/>
          <w:lang w:val="en-GB"/>
        </w:rPr>
      </w:pPr>
    </w:p>
    <w:p w14:paraId="59463D1D" w14:textId="77777777" w:rsidR="00061B58" w:rsidRPr="00555538" w:rsidRDefault="00000000">
      <w:pPr>
        <w:pStyle w:val="Body"/>
        <w:rPr>
          <w:rFonts w:ascii="Calibri" w:hAnsi="Calibri" w:cs="Calibri"/>
          <w:lang w:val="en-GB"/>
        </w:rPr>
      </w:pPr>
      <w:r w:rsidRPr="00555538">
        <w:rPr>
          <w:rFonts w:ascii="Calibri" w:hAnsi="Calibri" w:cs="Calibri"/>
          <w:lang w:val="en-GB"/>
        </w:rPr>
        <w:t>This policy should be read alongside:</w:t>
      </w:r>
    </w:p>
    <w:p w14:paraId="76A35693" w14:textId="77777777" w:rsidR="00061B58" w:rsidRPr="00555538" w:rsidRDefault="00000000">
      <w:pPr>
        <w:pStyle w:val="Body"/>
        <w:rPr>
          <w:rFonts w:ascii="Calibri" w:hAnsi="Calibri" w:cs="Calibri"/>
        </w:rPr>
      </w:pPr>
      <w:r w:rsidRPr="00555538">
        <w:rPr>
          <w:rFonts w:ascii="Calibri" w:hAnsi="Calibri" w:cs="Calibri"/>
          <w:lang w:val="en-GB"/>
        </w:rPr>
        <w:t>Whistleblowing Policy</w:t>
      </w:r>
      <w:r w:rsidRPr="00555538">
        <w:rPr>
          <w:rFonts w:ascii="Calibri" w:hAnsi="Calibri" w:cs="Calibri"/>
          <w:lang w:val="en-GB"/>
        </w:rPr>
        <w:br/>
        <w:t>Complaints and Appeals Procedure</w:t>
      </w:r>
      <w:r w:rsidRPr="00555538">
        <w:rPr>
          <w:rFonts w:ascii="Calibri" w:hAnsi="Calibri" w:cs="Calibri"/>
          <w:lang w:val="en-GB"/>
        </w:rPr>
        <w:br/>
        <w:t>Staff Conduct Policy</w:t>
      </w:r>
      <w:r w:rsidRPr="00555538">
        <w:rPr>
          <w:rFonts w:ascii="Calibri" w:hAnsi="Calibri" w:cs="Calibri"/>
          <w:lang w:val="en-GB"/>
        </w:rPr>
        <w:br/>
        <w:t>Safer Recruitment Policy</w:t>
      </w:r>
      <w:r w:rsidRPr="00555538">
        <w:rPr>
          <w:rFonts w:ascii="Calibri" w:hAnsi="Calibri" w:cs="Calibri"/>
          <w:lang w:val="en-GB"/>
        </w:rPr>
        <w:br/>
        <w:t>Data Protection and GDPR Policy</w:t>
      </w:r>
      <w:r w:rsidRPr="00555538">
        <w:rPr>
          <w:rFonts w:ascii="Calibri" w:hAnsi="Calibri" w:cs="Calibri"/>
          <w:lang w:val="en-GB"/>
        </w:rPr>
        <w:br/>
        <w:t>Prevent Policy</w:t>
      </w:r>
      <w:r w:rsidRPr="00555538">
        <w:rPr>
          <w:rFonts w:ascii="Calibri" w:hAnsi="Calibri" w:cs="Calibri"/>
          <w:lang w:val="en-GB"/>
        </w:rPr>
        <w:br/>
      </w:r>
    </w:p>
    <w:sectPr w:rsidR="00061B58" w:rsidRPr="00555538">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F420" w14:textId="77777777" w:rsidR="008856C0" w:rsidRPr="00555538" w:rsidRDefault="008856C0">
      <w:r w:rsidRPr="00555538">
        <w:separator/>
      </w:r>
    </w:p>
  </w:endnote>
  <w:endnote w:type="continuationSeparator" w:id="0">
    <w:p w14:paraId="0A068D54" w14:textId="77777777" w:rsidR="008856C0" w:rsidRPr="00555538" w:rsidRDefault="008856C0">
      <w:r w:rsidRPr="005555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BC90" w14:textId="77777777" w:rsidR="00555538" w:rsidRDefault="00555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404F" w14:textId="77777777" w:rsidR="00061B58" w:rsidRPr="00555538" w:rsidRDefault="00061B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DCF15" w14:textId="77777777" w:rsidR="00555538" w:rsidRDefault="00555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74775" w14:textId="77777777" w:rsidR="008856C0" w:rsidRPr="00555538" w:rsidRDefault="008856C0">
      <w:r w:rsidRPr="00555538">
        <w:separator/>
      </w:r>
    </w:p>
  </w:footnote>
  <w:footnote w:type="continuationSeparator" w:id="0">
    <w:p w14:paraId="45585FC2" w14:textId="77777777" w:rsidR="008856C0" w:rsidRPr="00555538" w:rsidRDefault="008856C0">
      <w:r w:rsidRPr="005555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33A3" w14:textId="77777777" w:rsidR="00555538" w:rsidRDefault="00555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886B" w14:textId="21BE2668" w:rsidR="00061B58" w:rsidRPr="00555538" w:rsidRDefault="00555538">
    <w:r>
      <w:rPr>
        <w:noProof/>
      </w:rPr>
      <w:pict w14:anchorId="5B0B5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2779173" o:spid="_x0000_s1025" type="#_x0000_t75" style="position:absolute;margin-left:0;margin-top:0;width:1599.95pt;height:1130.75pt;z-index:-251658240;mso-position-horizontal:center;mso-position-horizontal-relative:margin;mso-position-vertical:center;mso-position-vertical-relative:margin" o:allowincell="f">
          <v:imagedata r:id="rId1" o:title="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D647" w14:textId="77777777" w:rsidR="00555538" w:rsidRDefault="00555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83EE0"/>
    <w:multiLevelType w:val="hybridMultilevel"/>
    <w:tmpl w:val="1BEEE00C"/>
    <w:numStyleLink w:val="Numbered"/>
  </w:abstractNum>
  <w:abstractNum w:abstractNumId="1" w15:restartNumberingAfterBreak="0">
    <w:nsid w:val="42F73FEC"/>
    <w:multiLevelType w:val="hybridMultilevel"/>
    <w:tmpl w:val="1BEEE00C"/>
    <w:styleLink w:val="Numbered"/>
    <w:lvl w:ilvl="0" w:tplc="E99232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F4CA5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FA289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C23C7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AF255D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3A201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0661C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4A218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FA24D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47542647">
    <w:abstractNumId w:val="1"/>
  </w:num>
  <w:num w:numId="2" w16cid:durableId="15647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58"/>
    <w:rsid w:val="00061B58"/>
    <w:rsid w:val="00377C33"/>
    <w:rsid w:val="00555538"/>
    <w:rsid w:val="008856C0"/>
    <w:rsid w:val="00D3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FE29"/>
  <w15:docId w15:val="{FA233D16-7461-41E7-B3E7-CF3A7DAD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555538"/>
    <w:pPr>
      <w:tabs>
        <w:tab w:val="center" w:pos="4513"/>
        <w:tab w:val="right" w:pos="9026"/>
      </w:tabs>
    </w:pPr>
  </w:style>
  <w:style w:type="character" w:customStyle="1" w:styleId="HeaderChar">
    <w:name w:val="Header Char"/>
    <w:basedOn w:val="DefaultParagraphFont"/>
    <w:link w:val="Header"/>
    <w:uiPriority w:val="99"/>
    <w:rsid w:val="00555538"/>
    <w:rPr>
      <w:sz w:val="24"/>
      <w:szCs w:val="24"/>
      <w:lang w:eastAsia="en-US"/>
    </w:rPr>
  </w:style>
  <w:style w:type="paragraph" w:styleId="Footer">
    <w:name w:val="footer"/>
    <w:basedOn w:val="Normal"/>
    <w:link w:val="FooterChar"/>
    <w:uiPriority w:val="99"/>
    <w:unhideWhenUsed/>
    <w:rsid w:val="00555538"/>
    <w:pPr>
      <w:tabs>
        <w:tab w:val="center" w:pos="4513"/>
        <w:tab w:val="right" w:pos="9026"/>
      </w:tabs>
    </w:pPr>
  </w:style>
  <w:style w:type="character" w:customStyle="1" w:styleId="FooterChar">
    <w:name w:val="Footer Char"/>
    <w:basedOn w:val="DefaultParagraphFont"/>
    <w:link w:val="Footer"/>
    <w:uiPriority w:val="99"/>
    <w:rsid w:val="0055553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833</Words>
  <Characters>5119</Characters>
  <Application>Microsoft Office Word</Application>
  <DocSecurity>0</DocSecurity>
  <Lines>98</Lines>
  <Paragraphs>71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Holloway</dc:creator>
  <cp:lastModifiedBy>Tony Holloway</cp:lastModifiedBy>
  <cp:revision>3</cp:revision>
  <dcterms:created xsi:type="dcterms:W3CDTF">2025-10-16T08:22:00Z</dcterms:created>
  <dcterms:modified xsi:type="dcterms:W3CDTF">2025-10-16T08:34:00Z</dcterms:modified>
</cp:coreProperties>
</file>